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但较之投资对经济增长的贡献率仍有很大差距。今年前三个季度GDP增长了7.7％，其中投资的贡献率是7.3个百分点，而消费为4个百分点。4万亿投资计划所带动的投资高增长，虽然对保增长发挥了积极作用，但也会加剧产能过剩，同时导致贷款超量投放而加大经济运行中的通胀压力。所以，“调结构”特别是调整和优化经济增长的动力结构，已经刻不容缓。</w:t>
      </w:r>
      <w:r>
        <w:br/>
      </w:r>
      <w:r>
        <w:t>“调结构”是一项复杂的**工程，需要发挥各方面的积极因素多管齐下。**应采取一系列的政策措施</w:t>
      </w:r>
      <w:r>
        <w:fldChar w:fldCharType="begin"/>
      </w:r>
      <w:r>
        <w:instrText xml:space="preserve"> HYPERLINK "http://lw54.cn" </w:instrText>
      </w:r>
      <w:r>
        <w:fldChar w:fldCharType="separate"/>
      </w:r>
      <w:r>
        <w:rPr>
          <w:color w:val="0000FF"/>
          <w:u w:val="single"/>
          <w:rtl w:val="0"/>
        </w:rPr>
        <w:t>经济学类论文</w:t>
      </w:r>
      <w:r>
        <w:fldChar w:fldCharType="end"/>
      </w:r>
      <w:r>
        <w:t>，通过政策扶持和限制作用的发挥，促进各方面的结构调整。商业银行在贷款投放上，应重点支持符合国家产业政策要求的战略性新兴产业和其他产业，严格控制对产能过剩行业的贷款，促进产业结构升级，淘汰落后产能。同时08:16:12 作者：牛娟娟 来源：金融，要优化贷款投放方向，把贷款投向经济和社会发展中的短板领域。应有效发挥资本市场对“调结构”的积极作用，支持国家产业政策扶持的企业通过IPO和再融资获得发展壮大所需资金，特别是要大力支持那些具有高科技概念的新兴产业所属企业进入创业板市场。在直接融资方面，还要支持国家产业政策扶持的企业通过设立产业基金、发行企业债券、中期票据和短期融资券方式筹措资金。</w:t>
      </w:r>
      <w:r>
        <w:t>把管理通胀预期置于重要地位</w:t>
      </w:r>
      <w:r>
        <w:br/>
      </w:r>
      <w:r>
        <w:t>记者：现在，有的人认为，我国通胀预期并不强烈，至少明年不会出现通胀；还有的人认为，我国存在较严重的产能过剩，因而未来通胀压力不大。您是怎样看待这一问题的？</w:t>
      </w:r>
      <w:r>
        <w:br/>
      </w:r>
      <w:r>
        <w:t>苑德军：这些观点不仅不符合未来物价的发展变化趋势，低估了日渐严重的通胀威胁，而且也容易松懈决策层管理通胀预期的决心。必须看到，我国经济运行中的通胀压力正在逐渐加大，通胀已是“山雨欲来”，渐行渐近。这一判断并非危言耸听，而是在对影响物价的主要因素进行客观分析后得出的结论。**经济工作会议提出，要处理好保持经济平稳较快发展、调整经济结构、管理通胀预期的关系。把管理通胀预期和前两项工作任务并列，表明了**对防止通胀的高度重视。</w:t>
      </w:r>
      <w:r>
        <w:br/>
      </w:r>
      <w:r>
        <w:t>导致我国通胀预期强化的因素主要有四：</w:t>
      </w:r>
      <w:r>
        <w:rPr>
          <w:b/>
          <w:bCs/>
          <w:rtl w:val="0"/>
        </w:rPr>
        <w:fldChar w:fldCharType="begin"/>
      </w:r>
      <w:r>
        <w:rPr>
          <w:b/>
          <w:bCs/>
          <w:rtl w:val="0"/>
        </w:rPr>
        <w:instrText xml:space="preserve"> HYPERLINK "http://lw54.cn/a/sujiaodizhuan/2013/0402/693.html" </w:instrText>
      </w:r>
      <w:r>
        <w:rPr>
          <w:b/>
          <w:bCs/>
          <w:rtl w:val="0"/>
        </w:rPr>
        <w:fldChar w:fldCharType="separate"/>
      </w:r>
      <w:r>
        <w:rPr>
          <w:b/>
          <w:bCs/>
          <w:color w:val="0000FF"/>
          <w:u w:val="single"/>
          <w:rtl w:val="0"/>
        </w:rPr>
        <w:t>贷记管理费用”等科目,会计论文</w:t>
      </w:r>
      <w:r>
        <w:rPr>
          <w:b/>
          <w:bCs/>
          <w:rtl w:val="0"/>
        </w:rPr>
        <w:fldChar w:fldCharType="end"/>
      </w:r>
      <w:r>
        <w:t>，一是美元贬值带来的输入型通胀压力。美联储实行定量宽松的货币政策，开动印钞机救市，大量购买长期国债，以致美元过度泛滥，诱发美元贬值。虽然美国经济自今年第三季度实现了正增长，且11月的失业率也有所下降，但美国的经济运行还存在诸多不确定性，经济复苏之路依然漫长。因此，美国的货币政策取向短期内不会改变，货币扩张这一推动美元贬值的基本条件也不会有大的变化。从另一个角度看，美元贬值也符合美国的国家利益，因而美国**有较为强烈的弱势美元政策偏好。尽管盖特纳和伯南克都一再强调要稳定美元，但那只不过是一种对外表态，没有必要当真。美元的继续贬值是可以预期的，尽管走贬的过程会有起伏。而美元继续贬值，必然会导致国际大宗商品交易价格进一步上涨，加大我国输入型通胀的压力。可以预见，和金 08:16:12 作者：牛娟娟 来源：金融时报 我要评论 哪些是主力即将拉升的强势牛股！A股T+0平*可买跌赚钱杠杆100倍**金融学会今天发布了关于第九届全国优秀金融论文及调研报告拟获奖名单进行公示的公告。公告称,**金融学会第九届全国优秀金融论文及调研报告评选,经专家组初审、复审**金融学会今天发布了关于第九届全国优秀金融论文及调研报告拟获奖名单进行公示的公告。公告称,**金融学会第九届全国优秀金融论文及调研报告评选,经专家组初审、复审,学术委员会终审,从参评的近800篇文章中评选出获奖论文及调研报告共42篇。为保证此次评选公开、公平、公正,严惩学术造假不良之风,现在全国范围内对获奖论文及调研报告进行公示。公示时间为2011年6月13至22日。</w:t>
      </w:r>
      <w:r>
        <w:br/>
      </w:r>
      <w:r>
        <w:t>公告称,公示期间,欢迎社会各界对获奖论文及调研报告予以监督,若发现有抄袭等学术造假行为请联系**金融学会秘书处,学会将在核实后取消其获奖资格。 复制链接打印大 中 小关闭</w:t>
      </w:r>
      <w:r>
        <w:t>分享到</w:t>
      </w:r>
      <w:r>
        <w:t xml:space="preserve"> 分享到赶牛微博 分享到QQ空间 分享到**微博 分享到**微博 分享到豆瓣 金融学会公示全国优秀金融论文及调研报告拟获奖名单 相关新闻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